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219F14F3" w14:textId="4D48D282" w:rsidR="00DB3FA7" w:rsidRPr="00083DCB" w:rsidRDefault="00DB3FA7" w:rsidP="00083DCB">
      <w:pPr>
        <w:widowControl w:val="0"/>
        <w:tabs>
          <w:tab w:val="left" w:pos="2268"/>
        </w:tabs>
        <w:spacing w:before="120" w:after="24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056379C1" w:rsidR="009014AB" w:rsidRPr="003F2F26" w:rsidRDefault="00DB3FA7" w:rsidP="005800E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B81AF2" w:rsidRPr="003143D5">
        <w:rPr>
          <w:rFonts w:ascii="Arial" w:hAnsi="Arial" w:cs="Arial"/>
          <w:b/>
          <w:sz w:val="20"/>
          <w:szCs w:val="20"/>
        </w:rPr>
        <w:t>I</w:t>
      </w:r>
      <w:r w:rsidR="00B81AF2">
        <w:rPr>
          <w:rFonts w:ascii="Arial" w:hAnsi="Arial" w:cs="Arial"/>
          <w:b/>
          <w:sz w:val="20"/>
          <w:szCs w:val="20"/>
        </w:rPr>
        <w:t>I/</w:t>
      </w:r>
      <w:r w:rsidR="00C42408">
        <w:rPr>
          <w:rFonts w:ascii="Arial" w:hAnsi="Arial" w:cs="Arial"/>
          <w:b/>
          <w:sz w:val="20"/>
          <w:szCs w:val="20"/>
        </w:rPr>
        <w:t xml:space="preserve">387 Křiž. I/19 - </w:t>
      </w:r>
      <w:proofErr w:type="spellStart"/>
      <w:r w:rsidR="00C42408">
        <w:rPr>
          <w:rFonts w:ascii="Arial" w:hAnsi="Arial" w:cs="Arial"/>
          <w:b/>
          <w:sz w:val="20"/>
          <w:szCs w:val="20"/>
        </w:rPr>
        <w:t>Kasany</w:t>
      </w:r>
      <w:proofErr w:type="spellEnd"/>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00F8F27D" w:rsidR="00DB3FA7" w:rsidRPr="00C42408" w:rsidRDefault="00B81AF2" w:rsidP="00C4240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A26BE">
        <w:rPr>
          <w:rFonts w:ascii="Arial" w:hAnsi="Arial" w:cs="Arial"/>
          <w:bCs/>
          <w:sz w:val="20"/>
          <w:szCs w:val="20"/>
          <w:lang w:eastAsia="cs-CZ"/>
        </w:rPr>
        <w:t>Předmětem této Smlouvy</w:t>
      </w:r>
      <w:r w:rsidRPr="00BC3892">
        <w:rPr>
          <w:rFonts w:ascii="Arial" w:hAnsi="Arial" w:cs="Arial"/>
          <w:sz w:val="20"/>
          <w:szCs w:val="20"/>
        </w:rPr>
        <w:t xml:space="preserve"> </w:t>
      </w:r>
      <w:r w:rsidRPr="00D74217">
        <w:rPr>
          <w:rFonts w:ascii="Arial" w:hAnsi="Arial" w:cs="Arial"/>
          <w:sz w:val="20"/>
          <w:szCs w:val="20"/>
        </w:rPr>
        <w:t>je oprava silnice II/</w:t>
      </w:r>
      <w:r w:rsidR="00251430">
        <w:rPr>
          <w:rFonts w:ascii="Arial" w:hAnsi="Arial" w:cs="Arial"/>
          <w:sz w:val="20"/>
          <w:szCs w:val="20"/>
        </w:rPr>
        <w:t>387</w:t>
      </w:r>
      <w:r>
        <w:rPr>
          <w:rFonts w:ascii="Arial" w:hAnsi="Arial" w:cs="Arial"/>
          <w:sz w:val="20"/>
          <w:szCs w:val="20"/>
        </w:rPr>
        <w:t xml:space="preserve"> v</w:t>
      </w:r>
      <w:r w:rsidR="00251430">
        <w:rPr>
          <w:rFonts w:ascii="Arial" w:hAnsi="Arial" w:cs="Arial"/>
          <w:sz w:val="20"/>
          <w:szCs w:val="20"/>
        </w:rPr>
        <w:t xml:space="preserve"> úseku od obce Štěpánov nad Svratkou po konec obce Ujčov, </w:t>
      </w:r>
      <w:r w:rsidRPr="00D74217">
        <w:rPr>
          <w:rFonts w:ascii="Arial" w:hAnsi="Arial" w:cs="Arial"/>
          <w:sz w:val="20"/>
          <w:szCs w:val="20"/>
        </w:rPr>
        <w:t xml:space="preserve">okres </w:t>
      </w:r>
      <w:r w:rsidR="00251430">
        <w:rPr>
          <w:rFonts w:ascii="Arial" w:hAnsi="Arial" w:cs="Arial"/>
          <w:sz w:val="20"/>
          <w:szCs w:val="20"/>
        </w:rPr>
        <w:t xml:space="preserve">Žďár nad Sázavou, </w:t>
      </w:r>
      <w:r>
        <w:rPr>
          <w:rFonts w:ascii="Arial" w:hAnsi="Arial" w:cs="Arial"/>
          <w:sz w:val="20"/>
          <w:szCs w:val="20"/>
        </w:rPr>
        <w:t>Kraj Vysočina</w:t>
      </w:r>
      <w:r w:rsidR="0056601C">
        <w:rPr>
          <w:rFonts w:ascii="Arial" w:hAnsi="Arial" w:cs="Arial"/>
          <w:sz w:val="20"/>
          <w:szCs w:val="20"/>
        </w:rPr>
        <w:t xml:space="preserve">. Projektové staničení úseku II/387 je km </w:t>
      </w:r>
      <w:r w:rsidR="00251430">
        <w:rPr>
          <w:rFonts w:ascii="Arial" w:hAnsi="Arial" w:cs="Arial"/>
          <w:sz w:val="20"/>
          <w:szCs w:val="20"/>
        </w:rPr>
        <w:t>8</w:t>
      </w:r>
      <w:r>
        <w:rPr>
          <w:rFonts w:ascii="Arial" w:hAnsi="Arial" w:cs="Arial"/>
          <w:sz w:val="20"/>
          <w:szCs w:val="20"/>
        </w:rPr>
        <w:t>,</w:t>
      </w:r>
      <w:r w:rsidR="00251430">
        <w:rPr>
          <w:rFonts w:ascii="Arial" w:hAnsi="Arial" w:cs="Arial"/>
          <w:sz w:val="20"/>
          <w:szCs w:val="20"/>
        </w:rPr>
        <w:t>4</w:t>
      </w:r>
      <w:r w:rsidR="00955EDB">
        <w:rPr>
          <w:rFonts w:ascii="Arial" w:hAnsi="Arial" w:cs="Arial"/>
          <w:sz w:val="20"/>
          <w:szCs w:val="20"/>
        </w:rPr>
        <w:t>55</w:t>
      </w:r>
      <w:r>
        <w:rPr>
          <w:rFonts w:ascii="Arial" w:hAnsi="Arial" w:cs="Arial"/>
          <w:sz w:val="20"/>
          <w:szCs w:val="20"/>
        </w:rPr>
        <w:t xml:space="preserve"> – </w:t>
      </w:r>
      <w:r w:rsidR="00251430">
        <w:rPr>
          <w:rFonts w:ascii="Arial" w:hAnsi="Arial" w:cs="Arial"/>
          <w:sz w:val="20"/>
          <w:szCs w:val="20"/>
        </w:rPr>
        <w:t>km 11</w:t>
      </w:r>
      <w:r>
        <w:rPr>
          <w:rFonts w:ascii="Arial" w:hAnsi="Arial" w:cs="Arial"/>
          <w:sz w:val="20"/>
          <w:szCs w:val="20"/>
        </w:rPr>
        <w:t>,</w:t>
      </w:r>
      <w:r w:rsidR="00251430">
        <w:rPr>
          <w:rFonts w:ascii="Arial" w:hAnsi="Arial" w:cs="Arial"/>
          <w:sz w:val="20"/>
          <w:szCs w:val="20"/>
        </w:rPr>
        <w:t>7</w:t>
      </w:r>
      <w:r w:rsidR="00955EDB">
        <w:rPr>
          <w:rFonts w:ascii="Arial" w:hAnsi="Arial" w:cs="Arial"/>
          <w:sz w:val="20"/>
          <w:szCs w:val="20"/>
        </w:rPr>
        <w:t>56</w:t>
      </w:r>
      <w:r>
        <w:rPr>
          <w:rFonts w:ascii="Arial" w:hAnsi="Arial" w:cs="Arial"/>
          <w:sz w:val="20"/>
          <w:szCs w:val="20"/>
        </w:rPr>
        <w:t>.  Průměrná šířka vozovky je cca 6</w:t>
      </w:r>
      <w:r w:rsidR="00795FB3">
        <w:rPr>
          <w:rFonts w:ascii="Arial" w:hAnsi="Arial" w:cs="Arial"/>
          <w:sz w:val="20"/>
          <w:szCs w:val="20"/>
        </w:rPr>
        <w:t>,25</w:t>
      </w:r>
      <w:r>
        <w:rPr>
          <w:rFonts w:ascii="Arial" w:hAnsi="Arial" w:cs="Arial"/>
          <w:sz w:val="20"/>
          <w:szCs w:val="20"/>
        </w:rPr>
        <w:t xml:space="preserve"> m.  </w:t>
      </w:r>
      <w:r w:rsidR="00C42408">
        <w:rPr>
          <w:rFonts w:ascii="Arial" w:hAnsi="Arial" w:cs="Arial"/>
          <w:color w:val="000000"/>
          <w:sz w:val="20"/>
          <w:szCs w:val="20"/>
        </w:rPr>
        <w:t xml:space="preserve">Součástí opravy silnice </w:t>
      </w:r>
      <w:r w:rsidR="00C42408" w:rsidRPr="006323ED">
        <w:rPr>
          <w:rFonts w:ascii="Arial" w:eastAsia="Times New Roman" w:hAnsi="Arial" w:cs="Arial"/>
          <w:sz w:val="20"/>
          <w:szCs w:val="20"/>
        </w:rPr>
        <w:t>formou recyklace za studena a pokládk</w:t>
      </w:r>
      <w:r w:rsidR="00C42408">
        <w:rPr>
          <w:rFonts w:ascii="Arial" w:eastAsia="Times New Roman" w:hAnsi="Arial" w:cs="Arial"/>
          <w:sz w:val="20"/>
          <w:szCs w:val="20"/>
        </w:rPr>
        <w:t>y</w:t>
      </w:r>
      <w:r w:rsidR="00C42408" w:rsidRPr="006323ED">
        <w:rPr>
          <w:rFonts w:ascii="Arial" w:eastAsia="Times New Roman" w:hAnsi="Arial" w:cs="Arial"/>
          <w:sz w:val="20"/>
          <w:szCs w:val="20"/>
        </w:rPr>
        <w:t xml:space="preserve"> ložné vrstvy ACL 16+ a obrusné vrstvy ACO 11+</w:t>
      </w:r>
      <w:r w:rsidR="00C42408">
        <w:rPr>
          <w:rFonts w:ascii="Arial" w:eastAsia="Times New Roman" w:hAnsi="Arial" w:cs="Arial"/>
          <w:sz w:val="20"/>
          <w:szCs w:val="20"/>
        </w:rPr>
        <w:t xml:space="preserve">, je také </w:t>
      </w:r>
      <w:r w:rsidR="0056601C">
        <w:rPr>
          <w:rFonts w:ascii="Arial" w:eastAsia="Times New Roman" w:hAnsi="Arial" w:cs="Arial"/>
          <w:sz w:val="20"/>
          <w:szCs w:val="20"/>
        </w:rPr>
        <w:t>oprava dešťové kanalizace</w:t>
      </w:r>
      <w:r w:rsidR="006C4439">
        <w:rPr>
          <w:rFonts w:ascii="Arial" w:eastAsia="Times New Roman" w:hAnsi="Arial" w:cs="Arial"/>
          <w:sz w:val="20"/>
          <w:szCs w:val="20"/>
        </w:rPr>
        <w:t>, sanace násypového tělesa</w:t>
      </w:r>
      <w:r w:rsidR="0056601C">
        <w:rPr>
          <w:rFonts w:ascii="Arial" w:eastAsia="Times New Roman" w:hAnsi="Arial" w:cs="Arial"/>
          <w:sz w:val="20"/>
          <w:szCs w:val="20"/>
        </w:rPr>
        <w:t xml:space="preserve"> a </w:t>
      </w:r>
      <w:r w:rsidR="00C42408">
        <w:rPr>
          <w:rFonts w:ascii="Arial" w:eastAsia="Times New Roman" w:hAnsi="Arial" w:cs="Arial"/>
          <w:sz w:val="20"/>
          <w:szCs w:val="20"/>
        </w:rPr>
        <w:t>oprava propustků</w:t>
      </w:r>
      <w:r w:rsidR="00C42408">
        <w:rPr>
          <w:rFonts w:ascii="Arial" w:hAnsi="Arial" w:cs="Arial"/>
          <w:color w:val="000000"/>
          <w:sz w:val="20"/>
          <w:szCs w:val="20"/>
        </w:rPr>
        <w:t>.</w:t>
      </w:r>
    </w:p>
    <w:p w14:paraId="2A148D69" w14:textId="1FDBC620"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AE1651" w:rsidRPr="00D74217">
        <w:rPr>
          <w:rFonts w:ascii="Arial" w:hAnsi="Arial" w:cs="Arial"/>
          <w:sz w:val="20"/>
          <w:szCs w:val="20"/>
        </w:rPr>
        <w:t>I</w:t>
      </w:r>
      <w:r w:rsidR="00AE1651">
        <w:rPr>
          <w:rFonts w:ascii="Arial" w:hAnsi="Arial" w:cs="Arial"/>
          <w:sz w:val="20"/>
          <w:szCs w:val="20"/>
        </w:rPr>
        <w:t>I</w:t>
      </w:r>
      <w:r w:rsidR="00F24473">
        <w:rPr>
          <w:rFonts w:ascii="Arial" w:hAnsi="Arial" w:cs="Arial"/>
          <w:sz w:val="20"/>
          <w:szCs w:val="20"/>
        </w:rPr>
        <w:t>/387</w:t>
      </w:r>
      <w:r w:rsidR="00AE1651">
        <w:rPr>
          <w:rFonts w:ascii="Arial" w:hAnsi="Arial" w:cs="Arial"/>
          <w:sz w:val="20"/>
          <w:szCs w:val="20"/>
        </w:rPr>
        <w:t xml:space="preserve">  </w:t>
      </w:r>
      <w:r w:rsidR="00F24473">
        <w:rPr>
          <w:rFonts w:ascii="Arial" w:hAnsi="Arial" w:cs="Arial"/>
          <w:sz w:val="20"/>
          <w:szCs w:val="20"/>
        </w:rPr>
        <w:t xml:space="preserve">Křiž. I/19 - </w:t>
      </w:r>
      <w:proofErr w:type="spellStart"/>
      <w:r w:rsidR="00F24473">
        <w:rPr>
          <w:rFonts w:ascii="Arial" w:hAnsi="Arial" w:cs="Arial"/>
          <w:sz w:val="20"/>
          <w:szCs w:val="20"/>
        </w:rPr>
        <w:t>Kasany</w:t>
      </w:r>
      <w:proofErr w:type="spellEnd"/>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w:t>
      </w:r>
      <w:r w:rsidR="005800EF">
        <w:rPr>
          <w:rFonts w:ascii="Arial" w:hAnsi="Arial" w:cs="Arial"/>
          <w:sz w:val="20"/>
          <w:szCs w:val="20"/>
        </w:rPr>
        <w:t>vypracoval</w:t>
      </w:r>
      <w:r w:rsidR="00F24473" w:rsidRPr="008C77FB">
        <w:rPr>
          <w:rFonts w:ascii="Arial" w:hAnsi="Arial" w:cs="Arial"/>
          <w:sz w:val="20"/>
          <w:szCs w:val="20"/>
        </w:rPr>
        <w:t xml:space="preserve">a společnost </w:t>
      </w:r>
      <w:r w:rsidR="00F24473" w:rsidRPr="0083173A">
        <w:rPr>
          <w:rFonts w:ascii="Arial" w:hAnsi="Arial" w:cs="Arial"/>
          <w:sz w:val="20"/>
          <w:szCs w:val="20"/>
        </w:rPr>
        <w:t>PROfi Jihlava spol. s r. o.</w:t>
      </w:r>
      <w:r w:rsidR="00F24473" w:rsidRPr="008C77FB">
        <w:rPr>
          <w:rFonts w:ascii="Arial" w:hAnsi="Arial" w:cs="Arial"/>
          <w:sz w:val="20"/>
          <w:szCs w:val="20"/>
        </w:rPr>
        <w:t>, IČO</w:t>
      </w:r>
      <w:r w:rsidR="00F24473">
        <w:rPr>
          <w:rFonts w:ascii="Arial" w:hAnsi="Arial" w:cs="Arial"/>
          <w:sz w:val="20"/>
          <w:szCs w:val="20"/>
        </w:rPr>
        <w:t xml:space="preserve">: </w:t>
      </w:r>
      <w:r w:rsidR="00F24473" w:rsidRPr="0083173A">
        <w:rPr>
          <w:rFonts w:ascii="Arial" w:hAnsi="Arial" w:cs="Arial"/>
          <w:sz w:val="20"/>
          <w:szCs w:val="20"/>
        </w:rPr>
        <w:t>18198228</w:t>
      </w:r>
      <w:r w:rsidR="00F24473" w:rsidRPr="008C77FB">
        <w:rPr>
          <w:rFonts w:ascii="Arial" w:hAnsi="Arial" w:cs="Arial"/>
          <w:sz w:val="20"/>
          <w:szCs w:val="20"/>
        </w:rPr>
        <w:t>, se sídlem</w:t>
      </w:r>
      <w:r w:rsidR="00F24473">
        <w:rPr>
          <w:rFonts w:ascii="Arial" w:hAnsi="Arial" w:cs="Arial"/>
          <w:sz w:val="20"/>
          <w:szCs w:val="20"/>
        </w:rPr>
        <w:t xml:space="preserve"> </w:t>
      </w:r>
      <w:r w:rsidR="00F24473" w:rsidRPr="0083173A">
        <w:rPr>
          <w:rFonts w:ascii="Arial" w:hAnsi="Arial" w:cs="Arial"/>
          <w:sz w:val="20"/>
          <w:szCs w:val="20"/>
        </w:rPr>
        <w:t>Pod Příkopem 933/6, 586</w:t>
      </w:r>
      <w:r w:rsidR="00F24473">
        <w:rPr>
          <w:rFonts w:ascii="Arial" w:hAnsi="Arial" w:cs="Arial"/>
          <w:sz w:val="20"/>
          <w:szCs w:val="20"/>
        </w:rPr>
        <w:t xml:space="preserve"> </w:t>
      </w:r>
      <w:r w:rsidR="00F24473" w:rsidRPr="0083173A">
        <w:rPr>
          <w:rFonts w:ascii="Arial" w:hAnsi="Arial" w:cs="Arial"/>
          <w:sz w:val="20"/>
          <w:szCs w:val="20"/>
        </w:rPr>
        <w:t>01 Jihlava</w:t>
      </w:r>
      <w:r w:rsidR="00F24473" w:rsidRPr="008C77FB">
        <w:rPr>
          <w:rFonts w:ascii="Arial" w:hAnsi="Arial" w:cs="Arial"/>
          <w:sz w:val="20"/>
          <w:szCs w:val="20"/>
        </w:rPr>
        <w:t>,</w:t>
      </w:r>
      <w:r w:rsidR="00F24473">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258BBCF" w14:textId="77777777" w:rsidR="005800EF" w:rsidRPr="00F011CB" w:rsidRDefault="005800EF" w:rsidP="005800E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29B0F8" w14:textId="7064756D" w:rsidR="005800EF"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zahájení realizace stavby: </w:t>
      </w:r>
      <w:r w:rsidRPr="00EE2848">
        <w:rPr>
          <w:rFonts w:ascii="Arial" w:hAnsi="Arial" w:cs="Arial"/>
          <w:b/>
          <w:sz w:val="20"/>
          <w:szCs w:val="20"/>
          <w:lang w:eastAsia="cs-CZ"/>
        </w:rPr>
        <w:t>dnem předání a převzetí staveniště</w:t>
      </w:r>
      <w:r w:rsidRPr="00EE2848">
        <w:rPr>
          <w:rFonts w:ascii="Arial" w:hAnsi="Arial" w:cs="Arial"/>
          <w:sz w:val="20"/>
          <w:szCs w:val="20"/>
          <w:lang w:eastAsia="cs-CZ"/>
        </w:rPr>
        <w:t xml:space="preserve"> </w:t>
      </w:r>
    </w:p>
    <w:p w14:paraId="58F9D60D" w14:textId="31F87EEC" w:rsidR="003F0C97" w:rsidRPr="00EE2848" w:rsidRDefault="003F0C97"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sidRPr="003F0C97">
        <w:rPr>
          <w:rFonts w:ascii="Arial" w:hAnsi="Arial" w:cs="Arial"/>
          <w:b/>
          <w:sz w:val="20"/>
          <w:szCs w:val="20"/>
          <w:lang w:eastAsia="cs-CZ"/>
        </w:rPr>
        <w:t>červen 2025</w:t>
      </w:r>
    </w:p>
    <w:p w14:paraId="2B35F662" w14:textId="769246D7" w:rsidR="00A62B9A" w:rsidRDefault="00A62B9A" w:rsidP="00A62B9A">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sidR="00811EB1">
        <w:rPr>
          <w:rFonts w:ascii="Arial" w:hAnsi="Arial" w:cs="Arial"/>
          <w:b/>
          <w:sz w:val="20"/>
          <w:szCs w:val="20"/>
          <w:lang w:eastAsia="cs-CZ"/>
        </w:rPr>
        <w:t>90 kalendářních dní</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p>
    <w:p w14:paraId="5039EA83" w14:textId="4BFEAC7B" w:rsidR="00A62B9A" w:rsidRPr="004871CE" w:rsidRDefault="00A62B9A" w:rsidP="00A62B9A">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rPr>
      </w:pPr>
      <w:r w:rsidRPr="004871CE">
        <w:rPr>
          <w:rFonts w:ascii="Arial" w:hAnsi="Arial" w:cs="Arial"/>
          <w:sz w:val="20"/>
          <w:szCs w:val="20"/>
          <w:lang w:eastAsia="cs-CZ"/>
        </w:rPr>
        <w:t xml:space="preserve">dokončení díla vč. předání kompletní dokladové části Objednateli: </w:t>
      </w:r>
      <w:r w:rsidRPr="004871CE">
        <w:rPr>
          <w:rFonts w:ascii="Arial" w:hAnsi="Arial" w:cs="Arial"/>
          <w:b/>
          <w:sz w:val="20"/>
          <w:szCs w:val="20"/>
          <w:lang w:eastAsia="cs-CZ"/>
        </w:rPr>
        <w:t>do 1 měsíce</w:t>
      </w:r>
      <w:r>
        <w:rPr>
          <w:rFonts w:ascii="Arial" w:hAnsi="Arial" w:cs="Arial"/>
          <w:sz w:val="20"/>
          <w:szCs w:val="20"/>
          <w:lang w:eastAsia="cs-CZ"/>
        </w:rPr>
        <w:t xml:space="preserve"> od uvedení celé stavby do </w:t>
      </w:r>
      <w:r w:rsidR="003F0C97">
        <w:rPr>
          <w:rFonts w:ascii="Arial" w:hAnsi="Arial" w:cs="Arial"/>
          <w:sz w:val="20"/>
          <w:szCs w:val="20"/>
          <w:lang w:eastAsia="cs-CZ"/>
        </w:rPr>
        <w:t xml:space="preserve">užívání dle bodu </w:t>
      </w:r>
      <w:r w:rsidR="004030CE">
        <w:rPr>
          <w:rFonts w:ascii="Arial" w:hAnsi="Arial" w:cs="Arial"/>
          <w:sz w:val="20"/>
          <w:szCs w:val="20"/>
          <w:lang w:eastAsia="cs-CZ"/>
        </w:rPr>
        <w:t>c</w:t>
      </w:r>
      <w:r w:rsidR="003F0C97">
        <w:rPr>
          <w:rFonts w:ascii="Arial" w:hAnsi="Arial" w:cs="Arial"/>
          <w:sz w:val="20"/>
          <w:szCs w:val="20"/>
          <w:lang w:eastAsia="cs-CZ"/>
        </w:rPr>
        <w:t>)</w:t>
      </w:r>
      <w:r w:rsidR="004030CE">
        <w:rPr>
          <w:rFonts w:ascii="Arial" w:hAnsi="Arial" w:cs="Arial"/>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21A95B39" w:rsidR="00AD573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91D6CA6" w14:textId="77777777" w:rsidR="00AD573D" w:rsidRDefault="00AD573D">
      <w:pPr>
        <w:rPr>
          <w:rFonts w:ascii="Arial" w:eastAsia="Times New Roman" w:hAnsi="Arial" w:cs="Arial"/>
          <w:sz w:val="20"/>
          <w:szCs w:val="20"/>
          <w:lang w:val="x-none" w:eastAsia="cs-CZ"/>
        </w:rPr>
      </w:pPr>
      <w:r>
        <w:rPr>
          <w:rFonts w:ascii="Arial" w:hAnsi="Arial" w:cs="Arial"/>
          <w:sz w:val="20"/>
          <w:szCs w:val="20"/>
          <w:lang w:eastAsia="cs-CZ"/>
        </w:rPr>
        <w:br w:type="page"/>
      </w:r>
    </w:p>
    <w:p w14:paraId="42646CA9" w14:textId="77777777" w:rsidR="00DB3FA7" w:rsidRPr="00F011CB" w:rsidRDefault="00DB3FA7" w:rsidP="00AD573D">
      <w:pPr>
        <w:pStyle w:val="Zkladntextodsazen2"/>
        <w:widowControl w:val="0"/>
        <w:tabs>
          <w:tab w:val="left" w:pos="567"/>
        </w:tabs>
        <w:spacing w:before="120" w:line="240" w:lineRule="auto"/>
        <w:ind w:left="0"/>
        <w:jc w:val="both"/>
        <w:rPr>
          <w:rFonts w:ascii="Arial" w:hAnsi="Arial" w:cs="Arial"/>
          <w:sz w:val="20"/>
          <w:szCs w:val="20"/>
          <w:lang w:eastAsia="cs-CZ"/>
        </w:rPr>
      </w:pP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F011CB">
        <w:rPr>
          <w:rFonts w:ascii="Arial" w:hAnsi="Arial" w:cs="Arial"/>
          <w:sz w:val="20"/>
          <w:szCs w:val="20"/>
        </w:rPr>
        <w:lastRenderedPageBreak/>
        <w:t>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48C0574D" w14:textId="070A11BF" w:rsidR="00DB3FA7" w:rsidRPr="007511CF" w:rsidRDefault="00DB3FA7" w:rsidP="007511CF">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lastRenderedPageBreak/>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4379EB13" w14:textId="5DDD91EC" w:rsidR="00592C5B" w:rsidRDefault="00592C5B"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 xml:space="preserve">Zhotovitel poskytuje na dílo, které je předmětem této Smlouvy, záruku za jakost v délce trvání </w:t>
      </w:r>
      <w:r w:rsidR="004030CE">
        <w:rPr>
          <w:rFonts w:ascii="Arial" w:hAnsi="Arial" w:cs="Arial"/>
          <w:b/>
          <w:bCs/>
          <w:sz w:val="20"/>
          <w:szCs w:val="20"/>
          <w:lang w:eastAsia="cs-CZ"/>
        </w:rPr>
        <w:t xml:space="preserve">60 měsíců.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35CC8424" w14:textId="77777777" w:rsidR="00351D66" w:rsidRPr="00C616D2" w:rsidRDefault="00351D66" w:rsidP="00351D66">
      <w:pPr>
        <w:pStyle w:val="Zkladntextodsazen21"/>
        <w:numPr>
          <w:ilvl w:val="0"/>
          <w:numId w:val="25"/>
        </w:numPr>
        <w:tabs>
          <w:tab w:val="left" w:pos="567"/>
        </w:tabs>
        <w:spacing w:after="240"/>
        <w:ind w:left="0" w:firstLine="0"/>
        <w:rPr>
          <w:rFonts w:ascii="Arial" w:hAnsi="Arial" w:cs="Arial"/>
          <w:sz w:val="20"/>
          <w:szCs w:val="20"/>
        </w:rPr>
      </w:pPr>
      <w:r w:rsidRPr="00C616D2">
        <w:rPr>
          <w:rFonts w:ascii="Arial" w:hAnsi="Arial" w:cs="Arial"/>
          <w:sz w:val="20"/>
          <w:szCs w:val="20"/>
        </w:rPr>
        <w:t>Tato Smlouva o dílo je vyhotovena v elektronické podobě, přičemž obě smluvní strany obdrží její elektronický originál.</w:t>
      </w:r>
    </w:p>
    <w:p w14:paraId="01F621B0" w14:textId="77777777" w:rsidR="00351D66" w:rsidRPr="00C616D2" w:rsidRDefault="00351D66" w:rsidP="00351D66">
      <w:pPr>
        <w:pStyle w:val="Zkladntextodsazen21"/>
        <w:numPr>
          <w:ilvl w:val="0"/>
          <w:numId w:val="25"/>
        </w:numPr>
        <w:tabs>
          <w:tab w:val="left" w:pos="0"/>
        </w:tabs>
        <w:spacing w:after="240"/>
        <w:ind w:left="0" w:firstLine="0"/>
        <w:rPr>
          <w:rFonts w:ascii="Arial" w:hAnsi="Arial" w:cs="Arial"/>
          <w:sz w:val="20"/>
          <w:szCs w:val="20"/>
        </w:rPr>
      </w:pPr>
      <w:r w:rsidRPr="00C616D2">
        <w:rPr>
          <w:rFonts w:ascii="Arial" w:hAnsi="Arial" w:cs="Arial"/>
          <w:sz w:val="20"/>
          <w:szCs w:val="20"/>
        </w:rPr>
        <w:t xml:space="preserve">Smlouva je </w:t>
      </w:r>
      <w:r w:rsidRPr="00C616D2">
        <w:rPr>
          <w:rFonts w:ascii="Arial" w:hAnsi="Arial" w:cs="Arial"/>
          <w:b/>
          <w:sz w:val="20"/>
          <w:szCs w:val="20"/>
          <w:u w:val="single"/>
        </w:rPr>
        <w:t>platná</w:t>
      </w:r>
      <w:r w:rsidRPr="00C616D2">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41601E1" w14:textId="77777777" w:rsidR="001038BF" w:rsidRDefault="001038BF" w:rsidP="001038BF">
      <w:pPr>
        <w:pStyle w:val="Zkladntextodsazen21"/>
        <w:widowControl w:val="0"/>
        <w:numPr>
          <w:ilvl w:val="0"/>
          <w:numId w:val="25"/>
        </w:numPr>
        <w:tabs>
          <w:tab w:val="left" w:pos="207"/>
        </w:tabs>
        <w:suppressAutoHyphens w:val="0"/>
        <w:spacing w:before="120" w:after="12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0F1A80AD" w14:textId="35F52875" w:rsidR="00DB3FA7" w:rsidRPr="00D67256" w:rsidRDefault="0011128D" w:rsidP="00D67256">
      <w:pPr>
        <w:pStyle w:val="Zkladntextodsazen21"/>
        <w:widowControl w:val="0"/>
        <w:tabs>
          <w:tab w:val="left" w:pos="0"/>
        </w:tabs>
        <w:suppressAutoHyphens w:val="0"/>
        <w:spacing w:before="120" w:after="120"/>
        <w:ind w:firstLine="0"/>
        <w:rPr>
          <w:rFonts w:ascii="Arial" w:hAnsi="Arial" w:cs="Arial"/>
          <w:sz w:val="20"/>
          <w:szCs w:val="20"/>
          <w:highlight w:val="green"/>
        </w:rPr>
      </w:pPr>
      <w:r w:rsidRPr="0011128D">
        <w:rPr>
          <w:rFonts w:ascii="Arial" w:hAnsi="Arial" w:cs="Arial"/>
          <w:sz w:val="20"/>
          <w:szCs w:val="20"/>
          <w:highlight w:val="green"/>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w:t>
      </w:r>
      <w:r w:rsidRPr="00F011CB">
        <w:rPr>
          <w:rFonts w:ascii="Arial" w:hAnsi="Arial" w:cs="Arial"/>
          <w:color w:val="000000"/>
          <w:sz w:val="20"/>
          <w:szCs w:val="20"/>
        </w:rPr>
        <w:lastRenderedPageBreak/>
        <w:t>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0D998D30" w:rsidR="0066361C" w:rsidRPr="00FF0F96" w:rsidRDefault="00DB3FA7" w:rsidP="00FF0F96">
      <w:pPr>
        <w:pStyle w:val="Zkladntextodsazen21"/>
        <w:widowControl w:val="0"/>
        <w:numPr>
          <w:ilvl w:val="0"/>
          <w:numId w:val="18"/>
        </w:numPr>
        <w:tabs>
          <w:tab w:val="left" w:pos="567"/>
        </w:tabs>
        <w:suppressAutoHyphens w:val="0"/>
        <w:spacing w:before="120" w:after="36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90E10C5" w14:textId="2818A83C" w:rsidR="00BB3139" w:rsidRDefault="00DB3FA7" w:rsidP="00B86703">
      <w:pPr>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C10D7D" w:rsidRDefault="00E97E6E" w:rsidP="00E97E6E">
            <w:pPr>
              <w:widowControl w:val="0"/>
              <w:rPr>
                <w:rFonts w:ascii="Arial" w:hAnsi="Arial" w:cs="Arial"/>
                <w:color w:val="000000" w:themeColor="text1"/>
                <w:sz w:val="16"/>
                <w:szCs w:val="16"/>
              </w:rPr>
            </w:pPr>
            <w:r w:rsidRPr="00C10D7D">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C10D7D">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097833" w14:textId="58EF3730" w:rsidR="0066361C" w:rsidRDefault="0066361C" w:rsidP="00B86703">
      <w:pPr>
        <w:widowControl w:val="0"/>
        <w:spacing w:before="120" w:after="120" w:line="240" w:lineRule="auto"/>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52661" w14:textId="77777777" w:rsidR="001414A3" w:rsidRDefault="001414A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C1B9C8C"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C4E90">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C4E90">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CEADF" w14:textId="77777777" w:rsidR="001414A3" w:rsidRDefault="001414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03DBC" w14:textId="77777777" w:rsidR="001414A3" w:rsidRDefault="001414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32B61211" w:rsidR="00CE44A1" w:rsidRPr="00931CF7" w:rsidRDefault="001414A3" w:rsidP="001414A3">
          <w:pPr>
            <w:rPr>
              <w:rFonts w:ascii="Arial" w:hAnsi="Arial" w:cs="Arial"/>
              <w:sz w:val="16"/>
              <w:szCs w:val="16"/>
            </w:rPr>
          </w:pPr>
          <w:r>
            <w:rPr>
              <w:rFonts w:ascii="Arial" w:hAnsi="Arial" w:cs="Arial"/>
              <w:b/>
              <w:sz w:val="16"/>
              <w:szCs w:val="16"/>
            </w:rPr>
            <w:t>II</w:t>
          </w:r>
          <w:r w:rsidR="00B81AF2">
            <w:rPr>
              <w:rFonts w:ascii="Arial" w:hAnsi="Arial" w:cs="Arial"/>
              <w:b/>
              <w:sz w:val="16"/>
              <w:szCs w:val="16"/>
            </w:rPr>
            <w:t>/</w:t>
          </w:r>
          <w:r>
            <w:rPr>
              <w:rFonts w:ascii="Arial" w:hAnsi="Arial" w:cs="Arial"/>
              <w:b/>
              <w:sz w:val="16"/>
              <w:szCs w:val="16"/>
            </w:rPr>
            <w:t xml:space="preserve">387 Křiž.  I/19 - </w:t>
          </w:r>
          <w:proofErr w:type="spellStart"/>
          <w:r>
            <w:rPr>
              <w:rFonts w:ascii="Arial" w:hAnsi="Arial" w:cs="Arial"/>
              <w:b/>
              <w:sz w:val="16"/>
              <w:szCs w:val="16"/>
            </w:rPr>
            <w:t>Kasany</w:t>
          </w:r>
          <w:proofErr w:type="spellEnd"/>
        </w:p>
      </w:tc>
      <w:tc>
        <w:tcPr>
          <w:tcW w:w="4105" w:type="dxa"/>
        </w:tcPr>
        <w:p w14:paraId="02A66E2B" w14:textId="35C9DD6E"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AC4E90">
            <w:rPr>
              <w:rFonts w:ascii="Arial" w:hAnsi="Arial" w:cs="Arial"/>
              <w:b/>
              <w:sz w:val="16"/>
              <w:szCs w:val="16"/>
            </w:rPr>
            <w:t>P-ST-31-2025</w:t>
          </w:r>
          <w:bookmarkStart w:id="2" w:name="_GoBack"/>
          <w:bookmarkEnd w:id="2"/>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13640" w14:textId="77777777" w:rsidR="001414A3" w:rsidRDefault="001414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298" w:hanging="360"/>
      </w:pPr>
      <w:rPr>
        <w:rFonts w:ascii="Symbol" w:hAnsi="Symbol"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83DCB"/>
    <w:rsid w:val="001038BF"/>
    <w:rsid w:val="0011128D"/>
    <w:rsid w:val="001250A1"/>
    <w:rsid w:val="001414A3"/>
    <w:rsid w:val="001A6323"/>
    <w:rsid w:val="002016A9"/>
    <w:rsid w:val="00212951"/>
    <w:rsid w:val="002241D4"/>
    <w:rsid w:val="00251430"/>
    <w:rsid w:val="0029418F"/>
    <w:rsid w:val="002A740A"/>
    <w:rsid w:val="002B2AD8"/>
    <w:rsid w:val="002B4502"/>
    <w:rsid w:val="002B7198"/>
    <w:rsid w:val="002E05C8"/>
    <w:rsid w:val="00335CC9"/>
    <w:rsid w:val="00351D66"/>
    <w:rsid w:val="003C1001"/>
    <w:rsid w:val="003C1BEB"/>
    <w:rsid w:val="003F0C97"/>
    <w:rsid w:val="003F2F26"/>
    <w:rsid w:val="004030CE"/>
    <w:rsid w:val="0040597F"/>
    <w:rsid w:val="00417C74"/>
    <w:rsid w:val="00465D1E"/>
    <w:rsid w:val="00476DD2"/>
    <w:rsid w:val="00484CEC"/>
    <w:rsid w:val="00493625"/>
    <w:rsid w:val="004A07C6"/>
    <w:rsid w:val="004A2863"/>
    <w:rsid w:val="00523803"/>
    <w:rsid w:val="00544123"/>
    <w:rsid w:val="0056601C"/>
    <w:rsid w:val="005800EF"/>
    <w:rsid w:val="00592C5B"/>
    <w:rsid w:val="005A695F"/>
    <w:rsid w:val="00622EE2"/>
    <w:rsid w:val="006620D4"/>
    <w:rsid w:val="0066361C"/>
    <w:rsid w:val="00667D9C"/>
    <w:rsid w:val="00674579"/>
    <w:rsid w:val="00681CA5"/>
    <w:rsid w:val="00687DC0"/>
    <w:rsid w:val="006A648B"/>
    <w:rsid w:val="006A76C9"/>
    <w:rsid w:val="006C4204"/>
    <w:rsid w:val="006C4439"/>
    <w:rsid w:val="006C7AB2"/>
    <w:rsid w:val="006E0457"/>
    <w:rsid w:val="007511CF"/>
    <w:rsid w:val="00791A63"/>
    <w:rsid w:val="00795FB3"/>
    <w:rsid w:val="007C2780"/>
    <w:rsid w:val="007D6299"/>
    <w:rsid w:val="007F7F00"/>
    <w:rsid w:val="00811EB1"/>
    <w:rsid w:val="0083136F"/>
    <w:rsid w:val="00834B90"/>
    <w:rsid w:val="00854681"/>
    <w:rsid w:val="0087068A"/>
    <w:rsid w:val="0089709F"/>
    <w:rsid w:val="008A7232"/>
    <w:rsid w:val="008C77FB"/>
    <w:rsid w:val="008F2FA1"/>
    <w:rsid w:val="009014AB"/>
    <w:rsid w:val="00920BCD"/>
    <w:rsid w:val="00921C5F"/>
    <w:rsid w:val="00930E7E"/>
    <w:rsid w:val="00955EDB"/>
    <w:rsid w:val="009B02AB"/>
    <w:rsid w:val="009E7E2F"/>
    <w:rsid w:val="00A119AD"/>
    <w:rsid w:val="00A33750"/>
    <w:rsid w:val="00A62B9A"/>
    <w:rsid w:val="00A75AB9"/>
    <w:rsid w:val="00A870A1"/>
    <w:rsid w:val="00AB7E8B"/>
    <w:rsid w:val="00AC4E90"/>
    <w:rsid w:val="00AC6500"/>
    <w:rsid w:val="00AD573D"/>
    <w:rsid w:val="00AE1651"/>
    <w:rsid w:val="00AE2177"/>
    <w:rsid w:val="00B47FC6"/>
    <w:rsid w:val="00B52792"/>
    <w:rsid w:val="00B71FA8"/>
    <w:rsid w:val="00B81AF2"/>
    <w:rsid w:val="00B83B48"/>
    <w:rsid w:val="00B86703"/>
    <w:rsid w:val="00BB3139"/>
    <w:rsid w:val="00BB6A0F"/>
    <w:rsid w:val="00BC0449"/>
    <w:rsid w:val="00BE081B"/>
    <w:rsid w:val="00BE456F"/>
    <w:rsid w:val="00C10D7D"/>
    <w:rsid w:val="00C14B54"/>
    <w:rsid w:val="00C42408"/>
    <w:rsid w:val="00C56B34"/>
    <w:rsid w:val="00C56EE5"/>
    <w:rsid w:val="00C616D2"/>
    <w:rsid w:val="00C93745"/>
    <w:rsid w:val="00CA201B"/>
    <w:rsid w:val="00CD1F34"/>
    <w:rsid w:val="00CE44A1"/>
    <w:rsid w:val="00CF18D8"/>
    <w:rsid w:val="00D019A0"/>
    <w:rsid w:val="00D47E8F"/>
    <w:rsid w:val="00D60462"/>
    <w:rsid w:val="00D67256"/>
    <w:rsid w:val="00D773C2"/>
    <w:rsid w:val="00DA19CB"/>
    <w:rsid w:val="00DB3FA7"/>
    <w:rsid w:val="00DD5FBD"/>
    <w:rsid w:val="00DF7E29"/>
    <w:rsid w:val="00E0602B"/>
    <w:rsid w:val="00E774FF"/>
    <w:rsid w:val="00E8006A"/>
    <w:rsid w:val="00E861A8"/>
    <w:rsid w:val="00E905AF"/>
    <w:rsid w:val="00E97E6E"/>
    <w:rsid w:val="00EB53B7"/>
    <w:rsid w:val="00EE2848"/>
    <w:rsid w:val="00F011CB"/>
    <w:rsid w:val="00F0314B"/>
    <w:rsid w:val="00F24473"/>
    <w:rsid w:val="00F27CBF"/>
    <w:rsid w:val="00F71C87"/>
    <w:rsid w:val="00F73DC6"/>
    <w:rsid w:val="00FB69CA"/>
    <w:rsid w:val="00FD6522"/>
    <w:rsid w:val="00FF0F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8492">
      <w:bodyDiv w:val="1"/>
      <w:marLeft w:val="0"/>
      <w:marRight w:val="0"/>
      <w:marTop w:val="0"/>
      <w:marBottom w:val="0"/>
      <w:divBdr>
        <w:top w:val="none" w:sz="0" w:space="0" w:color="auto"/>
        <w:left w:val="none" w:sz="0" w:space="0" w:color="auto"/>
        <w:bottom w:val="none" w:sz="0" w:space="0" w:color="auto"/>
        <w:right w:val="none" w:sz="0" w:space="0" w:color="auto"/>
      </w:divBdr>
    </w:div>
    <w:div w:id="1315187257">
      <w:bodyDiv w:val="1"/>
      <w:marLeft w:val="0"/>
      <w:marRight w:val="0"/>
      <w:marTop w:val="0"/>
      <w:marBottom w:val="0"/>
      <w:divBdr>
        <w:top w:val="none" w:sz="0" w:space="0" w:color="auto"/>
        <w:left w:val="none" w:sz="0" w:space="0" w:color="auto"/>
        <w:bottom w:val="none" w:sz="0" w:space="0" w:color="auto"/>
        <w:right w:val="none" w:sz="0" w:space="0" w:color="auto"/>
      </w:divBdr>
    </w:div>
    <w:div w:id="187534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09444-B128-4BC7-A437-9649583DA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7</Pages>
  <Words>2871</Words>
  <Characters>16940</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89</cp:revision>
  <dcterms:created xsi:type="dcterms:W3CDTF">2023-06-21T08:41:00Z</dcterms:created>
  <dcterms:modified xsi:type="dcterms:W3CDTF">2025-05-21T06:41:00Z</dcterms:modified>
</cp:coreProperties>
</file>